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644CA" w14:textId="0813BB64" w:rsidR="008E368F" w:rsidRPr="009655C7" w:rsidRDefault="00B0652C" w:rsidP="009655C7">
      <w:pPr>
        <w:shd w:val="clear" w:color="auto" w:fill="70AD47" w:themeFill="accent6"/>
        <w:jc w:val="center"/>
        <w:rPr>
          <w:b/>
          <w:color w:val="FFFFFF" w:themeColor="background1"/>
          <w:sz w:val="28"/>
        </w:rPr>
      </w:pPr>
      <w:r>
        <w:rPr>
          <w:b/>
          <w:noProof/>
          <w:color w:val="FFFFFF" w:themeColor="background1"/>
          <w:sz w:val="28"/>
          <w:lang w:eastAsia="fr-FR"/>
        </w:rPr>
        <mc:AlternateContent>
          <mc:Choice Requires="wps">
            <w:drawing>
              <wp:anchor distT="0" distB="0" distL="114300" distR="114300" simplePos="0" relativeHeight="251659264" behindDoc="0" locked="0" layoutInCell="1" allowOverlap="1" wp14:anchorId="30F758A3" wp14:editId="5F0CEAEC">
                <wp:simplePos x="0" y="0"/>
                <wp:positionH relativeFrom="margin">
                  <wp:posOffset>21273</wp:posOffset>
                </wp:positionH>
                <wp:positionV relativeFrom="paragraph">
                  <wp:posOffset>-29528</wp:posOffset>
                </wp:positionV>
                <wp:extent cx="416880" cy="497522"/>
                <wp:effectExtent l="16827" t="21273" r="57468" b="57467"/>
                <wp:wrapNone/>
                <wp:docPr id="1" name="Triangle rectangle 1"/>
                <wp:cNvGraphicFramePr/>
                <a:graphic xmlns:a="http://schemas.openxmlformats.org/drawingml/2006/main">
                  <a:graphicData uri="http://schemas.microsoft.com/office/word/2010/wordprocessingShape">
                    <wps:wsp>
                      <wps:cNvSpPr/>
                      <wps:spPr>
                        <a:xfrm rot="5400000">
                          <a:off x="0" y="0"/>
                          <a:ext cx="416880" cy="497522"/>
                        </a:xfrm>
                        <a:prstGeom prst="rtTriangle">
                          <a:avLst/>
                        </a:prstGeom>
                        <a:solidFill>
                          <a:schemeClr val="accent2">
                            <a:lumMod val="40000"/>
                            <a:lumOff val="60000"/>
                          </a:schemeClr>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BA7D5" id="_x0000_t6" coordsize="21600,21600" o:spt="6" path="m,l,21600r21600,xe">
                <v:stroke joinstyle="miter"/>
                <v:path gradientshapeok="t" o:connecttype="custom" o:connectlocs="0,0;0,10800;0,21600;10800,21600;21600,21600;10800,10800" textboxrect="1800,12600,12600,19800"/>
              </v:shapetype>
              <v:shape id="Triangle rectangle 1" o:spid="_x0000_s1026" type="#_x0000_t6" style="position:absolute;margin-left:1.7pt;margin-top:-2.35pt;width:32.85pt;height:39.1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" fillcolor="#f7caac [1301]" strokecolor="red" strokeweight="2.25pt">
                <w10:wrap anchorx="margin"/>
              </v:shape>
            </w:pict>
          </mc:Fallback>
        </mc:AlternateContent>
      </w:r>
      <w:r>
        <w:rPr>
          <w:noProof/>
          <w:lang w:eastAsia="fr-FR"/>
        </w:rPr>
        <mc:AlternateContent>
          <mc:Choice Requires="wps">
            <w:drawing>
              <wp:anchor distT="0" distB="0" distL="114300" distR="114300" simplePos="0" relativeHeight="251660288" behindDoc="0" locked="0" layoutInCell="1" allowOverlap="1" wp14:anchorId="05934873" wp14:editId="4CF1AD22">
                <wp:simplePos x="0" y="0"/>
                <wp:positionH relativeFrom="margin">
                  <wp:align>left</wp:align>
                </wp:positionH>
                <wp:positionV relativeFrom="paragraph">
                  <wp:posOffset>11748</wp:posOffset>
                </wp:positionV>
                <wp:extent cx="419100" cy="4095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41910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06D331" w14:textId="193A8818" w:rsidR="00B0652C" w:rsidRDefault="00B0652C">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934873" id="_x0000_t202" coordsize="21600,21600" o:spt="202" path="m,l,21600r21600,l21600,xe">
                <v:stroke joinstyle="miter"/>
                <v:path gradientshapeok="t" o:connecttype="rect"/>
              </v:shapetype>
              <v:shape id="Zone de texte 2" o:spid="_x0000_s1026" type="#_x0000_t202" style="position:absolute;left:0;text-align:left;margin-left:0;margin-top:.95pt;width:33pt;height:32.25pt;z-index:2516602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" filled="f" stroked="f" strokeweight=".5pt">
                <v:textbox>
                  <w:txbxContent>
                    <w:p w14:paraId="0F06D331" w14:textId="193A8818" w:rsidR="00B0652C" w:rsidRDefault="00B0652C">
                      <w:r>
                        <w:t>8</w:t>
                      </w:r>
                    </w:p>
                  </w:txbxContent>
                </v:textbox>
                <w10:wrap anchorx="margin"/>
              </v:shape>
            </w:pict>
          </mc:Fallback>
        </mc:AlternateContent>
      </w:r>
      <w:r w:rsidR="00F64052">
        <w:rPr>
          <w:b/>
          <w:color w:val="FFFFFF" w:themeColor="background1"/>
          <w:sz w:val="28"/>
        </w:rPr>
        <w:t>EHPAD de Vatan</w:t>
      </w:r>
    </w:p>
    <w:p w14:paraId="4EA644CB" w14:textId="3FB22152" w:rsidR="009655C7" w:rsidRPr="009655C7" w:rsidRDefault="00B0652C" w:rsidP="009655C7">
      <w:pPr>
        <w:shd w:val="clear" w:color="auto" w:fill="70AD47" w:themeFill="accent6"/>
        <w:jc w:val="center"/>
        <w:rPr>
          <w:b/>
          <w:color w:val="FFFFFF" w:themeColor="background1"/>
          <w:sz w:val="28"/>
        </w:rPr>
      </w:pPr>
      <w:r>
        <w:rPr>
          <w:b/>
          <w:color w:val="FFFFFF" w:themeColor="background1"/>
          <w:sz w:val="28"/>
        </w:rPr>
        <w:t>Sécurité des biens et des personnes</w:t>
      </w:r>
    </w:p>
    <w:p w14:paraId="4EA644CC" w14:textId="54BE8BD1" w:rsidR="009655C7" w:rsidRDefault="009655C7"/>
    <w:p w14:paraId="4EA644CD" w14:textId="77777777" w:rsidR="00A26549" w:rsidRDefault="00A26549"/>
    <w:p w14:paraId="6565BAAC" w14:textId="77777777" w:rsidR="00B0652C" w:rsidRDefault="00B0652C">
      <w:pPr>
        <w:sectPr w:rsidR="00B0652C" w:rsidSect="009655C7">
          <w:pgSz w:w="11906" w:h="16838"/>
          <w:pgMar w:top="720" w:right="720" w:bottom="720" w:left="720" w:header="708" w:footer="708" w:gutter="0"/>
          <w:cols w:space="708"/>
          <w:docGrid w:linePitch="360"/>
        </w:sectPr>
      </w:pPr>
    </w:p>
    <w:p w14:paraId="2C73C36A" w14:textId="77777777" w:rsidR="00B0652C" w:rsidRPr="00B0652C" w:rsidRDefault="00B0652C" w:rsidP="00B0652C">
      <w:pPr>
        <w:pStyle w:val="Titre2"/>
        <w:numPr>
          <w:ilvl w:val="0"/>
          <w:numId w:val="0"/>
        </w:numPr>
        <w:shd w:val="clear" w:color="auto" w:fill="D0CECE" w:themeFill="background2" w:themeFillShade="E6"/>
        <w:rPr>
          <w:i w:val="0"/>
        </w:rPr>
      </w:pPr>
      <w:bookmarkStart w:id="0" w:name="_Toc314052757"/>
      <w:r w:rsidRPr="00B0652C">
        <w:rPr>
          <w:i w:val="0"/>
        </w:rPr>
        <w:t>Sécurité des personnes :</w:t>
      </w:r>
      <w:bookmarkEnd w:id="0"/>
    </w:p>
    <w:p w14:paraId="60685B1C" w14:textId="77777777" w:rsidR="009B2A6B" w:rsidRDefault="009B2A6B" w:rsidP="00B0652C">
      <w:pPr>
        <w:spacing w:after="0"/>
        <w:rPr>
          <w:rFonts w:cs="Arial"/>
        </w:rPr>
      </w:pPr>
    </w:p>
    <w:p w14:paraId="701C9584" w14:textId="490AAE48" w:rsidR="00B0652C" w:rsidRPr="000F677C" w:rsidRDefault="00B0652C" w:rsidP="00B0652C">
      <w:pPr>
        <w:spacing w:after="0"/>
        <w:rPr>
          <w:rFonts w:cs="Arial"/>
        </w:rPr>
      </w:pPr>
      <w:r w:rsidRPr="000F677C">
        <w:rPr>
          <w:rFonts w:cs="Arial"/>
        </w:rPr>
        <w:t xml:space="preserve">Dans le cadre des moyens alloués, l’établissement assure la sécurité des </w:t>
      </w:r>
      <w:r w:rsidR="00A25DBF">
        <w:rPr>
          <w:rFonts w:cs="Arial"/>
        </w:rPr>
        <w:t>résidents</w:t>
      </w:r>
      <w:r w:rsidRPr="000F677C">
        <w:rPr>
          <w:rFonts w:cs="Arial"/>
        </w:rPr>
        <w:t xml:space="preserve"> en organisant le service </w:t>
      </w:r>
      <w:r w:rsidR="003D1466">
        <w:rPr>
          <w:rFonts w:cs="Arial"/>
        </w:rPr>
        <w:t>par des</w:t>
      </w:r>
      <w:r w:rsidRPr="000F677C">
        <w:rPr>
          <w:rFonts w:cs="Arial"/>
        </w:rPr>
        <w:t xml:space="preserve"> dispositifs matériels adaptés.</w:t>
      </w:r>
    </w:p>
    <w:p w14:paraId="13A0EB42" w14:textId="77777777" w:rsidR="00B0652C" w:rsidRPr="000F677C" w:rsidRDefault="00B0652C" w:rsidP="00B0652C">
      <w:pPr>
        <w:spacing w:after="0"/>
        <w:rPr>
          <w:rFonts w:cs="Arial"/>
        </w:rPr>
      </w:pPr>
    </w:p>
    <w:p w14:paraId="1F6DF1A9" w14:textId="5387A3D4" w:rsidR="00B0652C" w:rsidRPr="000F677C" w:rsidRDefault="00B0652C" w:rsidP="00B0652C">
      <w:pPr>
        <w:rPr>
          <w:rFonts w:cs="Arial"/>
        </w:rPr>
      </w:pPr>
      <w:r w:rsidRPr="000F677C">
        <w:rPr>
          <w:rFonts w:cs="Arial"/>
        </w:rPr>
        <w:t xml:space="preserve">Une présence est assurée en continu </w:t>
      </w:r>
      <w:r>
        <w:rPr>
          <w:rFonts w:cs="Arial"/>
        </w:rPr>
        <w:t>24h/24h.</w:t>
      </w:r>
    </w:p>
    <w:p w14:paraId="57DC9A17" w14:textId="77777777" w:rsidR="00B0652C" w:rsidRPr="00B0652C" w:rsidRDefault="00B0652C" w:rsidP="00B0652C">
      <w:pPr>
        <w:pStyle w:val="Titre2"/>
        <w:numPr>
          <w:ilvl w:val="0"/>
          <w:numId w:val="0"/>
        </w:numPr>
        <w:shd w:val="clear" w:color="auto" w:fill="D0CECE" w:themeFill="background2" w:themeFillShade="E6"/>
        <w:rPr>
          <w:i w:val="0"/>
        </w:rPr>
      </w:pPr>
      <w:bookmarkStart w:id="1" w:name="_Toc314052758"/>
      <w:r w:rsidRPr="00B0652C">
        <w:rPr>
          <w:i w:val="0"/>
        </w:rPr>
        <w:t>Sécurité incendie :</w:t>
      </w:r>
      <w:bookmarkEnd w:id="1"/>
    </w:p>
    <w:p w14:paraId="1E7C1AF0" w14:textId="77777777" w:rsidR="009B2A6B" w:rsidRDefault="009B2A6B" w:rsidP="00B0652C">
      <w:pPr>
        <w:spacing w:after="0"/>
        <w:rPr>
          <w:rFonts w:cs="Arial"/>
        </w:rPr>
      </w:pPr>
    </w:p>
    <w:p w14:paraId="451038F3" w14:textId="77777777" w:rsidR="00B0652C" w:rsidRPr="000F677C" w:rsidRDefault="00B0652C" w:rsidP="00B0652C">
      <w:pPr>
        <w:spacing w:after="0"/>
        <w:rPr>
          <w:rFonts w:cs="Arial"/>
        </w:rPr>
      </w:pPr>
      <w:r w:rsidRPr="000F677C">
        <w:rPr>
          <w:rFonts w:cs="Arial"/>
        </w:rPr>
        <w:t>La Commission de Sécurité d’arrondissement effectue une visite de conformité des bâtiments et installations tous les trois ans. L’autorisation d’ouverture au public est délivrée par le Maire de la commune d’implantation de la structure.</w:t>
      </w:r>
    </w:p>
    <w:p w14:paraId="1A659EE4" w14:textId="77777777" w:rsidR="00B0652C" w:rsidRPr="000F677C" w:rsidRDefault="00B0652C" w:rsidP="00B0652C">
      <w:pPr>
        <w:spacing w:after="0"/>
        <w:rPr>
          <w:rFonts w:cs="Arial"/>
          <w:b/>
        </w:rPr>
      </w:pPr>
      <w:bookmarkStart w:id="2" w:name="_GoBack"/>
      <w:bookmarkEnd w:id="2"/>
    </w:p>
    <w:p w14:paraId="478D57C9" w14:textId="707EDAC9" w:rsidR="00B0652C" w:rsidRPr="000F677C" w:rsidRDefault="00B0652C" w:rsidP="00B0652C">
      <w:pPr>
        <w:spacing w:after="0"/>
        <w:rPr>
          <w:rFonts w:cs="Arial"/>
        </w:rPr>
      </w:pPr>
      <w:r w:rsidRPr="000F677C">
        <w:rPr>
          <w:rFonts w:cs="Arial"/>
        </w:rPr>
        <w:t xml:space="preserve">Les locaux sont équipés de dispositifs de sécurité appropriés. Les consignes à l’attention des </w:t>
      </w:r>
      <w:r w:rsidR="00A25DBF">
        <w:rPr>
          <w:rFonts w:cs="Arial"/>
        </w:rPr>
        <w:t>résidents</w:t>
      </w:r>
      <w:r w:rsidRPr="000F677C">
        <w:rPr>
          <w:rFonts w:cs="Arial"/>
        </w:rPr>
        <w:t xml:space="preserve"> et des familles</w:t>
      </w:r>
      <w:r w:rsidR="00DE3408">
        <w:rPr>
          <w:rFonts w:cs="Arial"/>
        </w:rPr>
        <w:t>,</w:t>
      </w:r>
      <w:r w:rsidRPr="000F677C">
        <w:rPr>
          <w:rFonts w:cs="Arial"/>
        </w:rPr>
        <w:t xml:space="preserve"> sont apposées dans les lieux de vie et indiquent les procédures à suivre.</w:t>
      </w:r>
    </w:p>
    <w:p w14:paraId="146D9463" w14:textId="77777777" w:rsidR="00B0652C" w:rsidRPr="000F677C" w:rsidRDefault="00B0652C" w:rsidP="00B0652C">
      <w:pPr>
        <w:spacing w:after="0"/>
        <w:rPr>
          <w:rFonts w:cs="Arial"/>
        </w:rPr>
      </w:pPr>
    </w:p>
    <w:p w14:paraId="4AE24FB0" w14:textId="77777777" w:rsidR="00B0652C" w:rsidRDefault="00B0652C" w:rsidP="00B0652C">
      <w:pPr>
        <w:spacing w:after="0"/>
        <w:rPr>
          <w:rFonts w:cs="Arial"/>
        </w:rPr>
      </w:pPr>
      <w:r w:rsidRPr="000F677C">
        <w:rPr>
          <w:rFonts w:cs="Arial"/>
        </w:rPr>
        <w:t>Des exercices, des formations et des informations du personnel sont régulièrement organisés, avec le concours des services de secours et d’incendie compétents.</w:t>
      </w:r>
    </w:p>
    <w:p w14:paraId="6717F5D7" w14:textId="77777777" w:rsidR="00B0652C" w:rsidRPr="00B0652C" w:rsidRDefault="00B0652C" w:rsidP="00B0652C">
      <w:pPr>
        <w:pStyle w:val="Titre2"/>
        <w:numPr>
          <w:ilvl w:val="0"/>
          <w:numId w:val="0"/>
        </w:numPr>
        <w:shd w:val="clear" w:color="auto" w:fill="D0CECE" w:themeFill="background2" w:themeFillShade="E6"/>
        <w:rPr>
          <w:i w:val="0"/>
        </w:rPr>
      </w:pPr>
      <w:bookmarkStart w:id="3" w:name="_Toc314052759"/>
      <w:r w:rsidRPr="00B0652C">
        <w:rPr>
          <w:i w:val="0"/>
        </w:rPr>
        <w:t>Vigilances sanitaires :</w:t>
      </w:r>
      <w:bookmarkEnd w:id="3"/>
    </w:p>
    <w:p w14:paraId="1A2233E5" w14:textId="77777777" w:rsidR="009B2A6B" w:rsidRDefault="009B2A6B" w:rsidP="001748CB">
      <w:pPr>
        <w:pStyle w:val="Listepuces1"/>
        <w:numPr>
          <w:ilvl w:val="0"/>
          <w:numId w:val="0"/>
        </w:numPr>
        <w:jc w:val="both"/>
        <w:rPr>
          <w:rFonts w:ascii="Arial" w:hAnsi="Arial" w:cs="Arial"/>
          <w:sz w:val="22"/>
          <w:szCs w:val="22"/>
        </w:rPr>
      </w:pPr>
    </w:p>
    <w:p w14:paraId="1D3F3052" w14:textId="3412AF73" w:rsidR="00B0652C" w:rsidRPr="00C202B1" w:rsidRDefault="00B0652C" w:rsidP="001748CB">
      <w:pPr>
        <w:pStyle w:val="Listepuces1"/>
        <w:numPr>
          <w:ilvl w:val="0"/>
          <w:numId w:val="0"/>
        </w:numPr>
        <w:jc w:val="both"/>
        <w:rPr>
          <w:rFonts w:ascii="Arial" w:hAnsi="Arial" w:cs="Arial"/>
          <w:sz w:val="22"/>
          <w:szCs w:val="22"/>
        </w:rPr>
      </w:pPr>
      <w:r w:rsidRPr="00C202B1">
        <w:rPr>
          <w:rFonts w:ascii="Arial" w:hAnsi="Arial" w:cs="Arial"/>
          <w:sz w:val="22"/>
          <w:szCs w:val="22"/>
        </w:rPr>
        <w:t>L’établissement participe à la mise en œuvre de plan d’alerte et d’urgence en cas de ris</w:t>
      </w:r>
      <w:r w:rsidR="00783B34">
        <w:rPr>
          <w:rFonts w:ascii="Arial" w:hAnsi="Arial" w:cs="Arial"/>
          <w:sz w:val="22"/>
          <w:szCs w:val="22"/>
        </w:rPr>
        <w:t>ques climatiques exceptionnels tels que le plan grand froid</w:t>
      </w:r>
      <w:r w:rsidRPr="00C202B1">
        <w:rPr>
          <w:rFonts w:ascii="Arial" w:hAnsi="Arial" w:cs="Arial"/>
          <w:sz w:val="22"/>
          <w:szCs w:val="22"/>
        </w:rPr>
        <w:t xml:space="preserve">, </w:t>
      </w:r>
      <w:r w:rsidR="00783B34">
        <w:rPr>
          <w:rFonts w:ascii="Arial" w:hAnsi="Arial" w:cs="Arial"/>
          <w:sz w:val="22"/>
          <w:szCs w:val="22"/>
        </w:rPr>
        <w:t>plan canicule, etc</w:t>
      </w:r>
      <w:r w:rsidRPr="00C202B1">
        <w:rPr>
          <w:rFonts w:ascii="Arial" w:hAnsi="Arial" w:cs="Arial"/>
          <w:sz w:val="22"/>
          <w:szCs w:val="22"/>
        </w:rPr>
        <w:t>.</w:t>
      </w:r>
    </w:p>
    <w:p w14:paraId="1C2D6CE5" w14:textId="77777777" w:rsidR="00B0652C" w:rsidRPr="000F677C" w:rsidRDefault="00B0652C" w:rsidP="00B0652C">
      <w:pPr>
        <w:pStyle w:val="Listepuces1"/>
        <w:numPr>
          <w:ilvl w:val="0"/>
          <w:numId w:val="0"/>
        </w:numPr>
        <w:ind w:left="1080"/>
        <w:rPr>
          <w:rFonts w:ascii="Arial" w:hAnsi="Arial" w:cs="Arial"/>
        </w:rPr>
      </w:pPr>
    </w:p>
    <w:p w14:paraId="15B73C06" w14:textId="01BC5FD5" w:rsidR="00B0652C" w:rsidRPr="000F677C" w:rsidRDefault="00B0652C" w:rsidP="00B0652C">
      <w:pPr>
        <w:spacing w:after="0"/>
        <w:rPr>
          <w:rFonts w:cs="Arial"/>
        </w:rPr>
      </w:pPr>
      <w:r w:rsidRPr="000F677C">
        <w:rPr>
          <w:rFonts w:cs="Arial"/>
        </w:rPr>
        <w:t xml:space="preserve">Des mesures complémentaires de surveillance sont prises en cas de nécessité (hydratation, confort des </w:t>
      </w:r>
      <w:r w:rsidR="00A25DBF">
        <w:rPr>
          <w:rFonts w:cs="Arial"/>
        </w:rPr>
        <w:t>résidents</w:t>
      </w:r>
      <w:r w:rsidRPr="000F677C">
        <w:rPr>
          <w:rFonts w:cs="Arial"/>
        </w:rPr>
        <w:t>).</w:t>
      </w:r>
    </w:p>
    <w:p w14:paraId="318679D0" w14:textId="77777777" w:rsidR="00B0652C" w:rsidRPr="000F677C" w:rsidRDefault="00B0652C" w:rsidP="00B0652C">
      <w:pPr>
        <w:spacing w:after="0"/>
        <w:rPr>
          <w:rFonts w:cs="Arial"/>
        </w:rPr>
      </w:pPr>
    </w:p>
    <w:p w14:paraId="0EFBECEB" w14:textId="77777777" w:rsidR="00B0652C" w:rsidRPr="000F677C" w:rsidRDefault="00B0652C" w:rsidP="00B0652C">
      <w:pPr>
        <w:rPr>
          <w:rFonts w:cs="Arial"/>
        </w:rPr>
      </w:pPr>
      <w:r w:rsidRPr="000F677C">
        <w:rPr>
          <w:rFonts w:cs="Arial"/>
        </w:rPr>
        <w:t>L’établissement met en œuvre des vigilances sanitaires visant notamment à prévenir les infections nosocomiales, les toxi-infections alimentaires et le risque de légionellose.</w:t>
      </w:r>
    </w:p>
    <w:p w14:paraId="71BCAA5E" w14:textId="77777777" w:rsidR="00B0652C" w:rsidRPr="00B0652C" w:rsidRDefault="00B0652C" w:rsidP="00B0652C">
      <w:pPr>
        <w:pStyle w:val="Titre2"/>
        <w:numPr>
          <w:ilvl w:val="0"/>
          <w:numId w:val="0"/>
        </w:numPr>
        <w:shd w:val="clear" w:color="auto" w:fill="D0CECE" w:themeFill="background2" w:themeFillShade="E6"/>
        <w:rPr>
          <w:i w:val="0"/>
        </w:rPr>
      </w:pPr>
      <w:bookmarkStart w:id="4" w:name="_Toc314052760"/>
      <w:r w:rsidRPr="00B0652C">
        <w:rPr>
          <w:i w:val="0"/>
        </w:rPr>
        <w:t>Biens et objets de valeurs personnels :</w:t>
      </w:r>
      <w:bookmarkEnd w:id="4"/>
    </w:p>
    <w:p w14:paraId="2D2D8F57" w14:textId="77777777" w:rsidR="009B2A6B" w:rsidRDefault="009B2A6B" w:rsidP="00B0652C">
      <w:pPr>
        <w:spacing w:after="0"/>
        <w:rPr>
          <w:rFonts w:cs="Arial"/>
        </w:rPr>
      </w:pPr>
    </w:p>
    <w:p w14:paraId="6DE0BE6C" w14:textId="6B92ACB4" w:rsidR="00B0652C" w:rsidRPr="000F677C" w:rsidRDefault="00B0652C" w:rsidP="00B0652C">
      <w:pPr>
        <w:spacing w:after="0"/>
        <w:rPr>
          <w:rFonts w:cs="Arial"/>
        </w:rPr>
      </w:pPr>
      <w:r w:rsidRPr="000F677C">
        <w:rPr>
          <w:rFonts w:cs="Arial"/>
        </w:rPr>
        <w:t xml:space="preserve">Dans la limite d’éventuelles mesures de protection juridique et d’intervention de décisions de justice, le </w:t>
      </w:r>
      <w:r w:rsidR="00A25DBF">
        <w:rPr>
          <w:rFonts w:cs="Arial"/>
        </w:rPr>
        <w:t>résident</w:t>
      </w:r>
      <w:r w:rsidRPr="000F677C">
        <w:rPr>
          <w:rFonts w:cs="Arial"/>
        </w:rPr>
        <w:t xml:space="preserve"> peut conserver des biens, effets et objets personnels et disposer de son patrimoine et de ses revenus.</w:t>
      </w:r>
    </w:p>
    <w:p w14:paraId="61F63330" w14:textId="77777777" w:rsidR="00B0652C" w:rsidRPr="000F677C" w:rsidRDefault="00B0652C" w:rsidP="00B0652C">
      <w:pPr>
        <w:spacing w:after="0"/>
        <w:rPr>
          <w:rFonts w:cs="Arial"/>
        </w:rPr>
      </w:pPr>
    </w:p>
    <w:p w14:paraId="3D169F51" w14:textId="77777777" w:rsidR="00B0652C" w:rsidRPr="000F677C" w:rsidRDefault="00B0652C" w:rsidP="00B0652C">
      <w:pPr>
        <w:spacing w:after="0"/>
        <w:rPr>
          <w:rFonts w:cs="Arial"/>
        </w:rPr>
      </w:pPr>
      <w:r w:rsidRPr="000F677C">
        <w:rPr>
          <w:rFonts w:cs="Arial"/>
        </w:rPr>
        <w:t>Conformément à la législation en vigueur, les biens de valeur peuvent être déposés par l’intermédiaire du régisseur, au Trésor Public, contre reçu et après inventaire.</w:t>
      </w:r>
    </w:p>
    <w:p w14:paraId="27EAA8F7" w14:textId="77777777" w:rsidR="00B0652C" w:rsidRPr="000F677C" w:rsidRDefault="00B0652C" w:rsidP="00B0652C">
      <w:pPr>
        <w:spacing w:after="0"/>
        <w:rPr>
          <w:rFonts w:cs="Arial"/>
        </w:rPr>
      </w:pPr>
    </w:p>
    <w:p w14:paraId="7060CA98" w14:textId="77777777" w:rsidR="00B0652C" w:rsidRPr="000F677C" w:rsidRDefault="00B0652C" w:rsidP="00B0652C">
      <w:pPr>
        <w:spacing w:after="0"/>
        <w:rPr>
          <w:rFonts w:cs="Arial"/>
        </w:rPr>
      </w:pPr>
      <w:r w:rsidRPr="000F677C">
        <w:rPr>
          <w:rFonts w:cs="Arial"/>
        </w:rPr>
        <w:t xml:space="preserve">Les biens seront restitués à qui de droit après un nouvel inventaire lors de la sortie de l’établissement. </w:t>
      </w:r>
    </w:p>
    <w:p w14:paraId="4C491245" w14:textId="77777777" w:rsidR="00B0652C" w:rsidRPr="000F677C" w:rsidRDefault="00B0652C" w:rsidP="00B0652C">
      <w:pPr>
        <w:spacing w:after="0"/>
        <w:rPr>
          <w:rFonts w:cs="Arial"/>
        </w:rPr>
      </w:pPr>
    </w:p>
    <w:p w14:paraId="2A4EAE05" w14:textId="77777777" w:rsidR="00B0652C" w:rsidRPr="00392983" w:rsidRDefault="00B0652C" w:rsidP="00B0652C">
      <w:pPr>
        <w:spacing w:after="0"/>
        <w:rPr>
          <w:rFonts w:cs="Arial"/>
        </w:rPr>
      </w:pPr>
      <w:r w:rsidRPr="000F677C">
        <w:rPr>
          <w:rFonts w:cs="Arial"/>
        </w:rPr>
        <w:t>Pour les biens ou valeurs non déposés, l’établissement ne saurait être tenu responsable en cas de perte, de vol ou de dégradation.</w:t>
      </w:r>
    </w:p>
    <w:p w14:paraId="4EA6452A" w14:textId="0D9D44D1" w:rsidR="009655C7" w:rsidRDefault="009655C7"/>
    <w:sectPr w:rsidR="009655C7" w:rsidSect="009B2A6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bullet"/>
      <w:pStyle w:val="Listepuces1"/>
      <w:lvlText w:val=""/>
      <w:lvlJc w:val="left"/>
      <w:pPr>
        <w:tabs>
          <w:tab w:val="num" w:pos="720"/>
        </w:tabs>
        <w:ind w:left="720" w:hanging="360"/>
      </w:pPr>
      <w:rPr>
        <w:rFonts w:ascii="Wingdings" w:hAnsi="Wingdings" w:cs="Arial"/>
      </w:rPr>
    </w:lvl>
  </w:abstractNum>
  <w:abstractNum w:abstractNumId="1" w15:restartNumberingAfterBreak="0">
    <w:nsid w:val="45010536"/>
    <w:multiLevelType w:val="hybridMultilevel"/>
    <w:tmpl w:val="3EEA2020"/>
    <w:lvl w:ilvl="0" w:tplc="14E630EE">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1748CB"/>
    <w:rsid w:val="003D1466"/>
    <w:rsid w:val="006D2E09"/>
    <w:rsid w:val="00783B34"/>
    <w:rsid w:val="008177EB"/>
    <w:rsid w:val="008E368F"/>
    <w:rsid w:val="009655C7"/>
    <w:rsid w:val="009B2A6B"/>
    <w:rsid w:val="00A25DBF"/>
    <w:rsid w:val="00A26549"/>
    <w:rsid w:val="00B0652C"/>
    <w:rsid w:val="00DE3408"/>
    <w:rsid w:val="00F64052"/>
    <w:rsid w:val="00FD0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44CA"/>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paragraph" w:styleId="Titre2">
    <w:name w:val="heading 2"/>
    <w:basedOn w:val="Normal"/>
    <w:next w:val="Normal"/>
    <w:link w:val="Titre2Car"/>
    <w:unhideWhenUsed/>
    <w:qFormat/>
    <w:rsid w:val="00B0652C"/>
    <w:pPr>
      <w:keepNext/>
      <w:numPr>
        <w:numId w:val="2"/>
      </w:numPr>
      <w:suppressAutoHyphens/>
      <w:spacing w:before="240" w:after="60" w:line="240" w:lineRule="auto"/>
      <w:jc w:val="left"/>
      <w:outlineLvl w:val="1"/>
    </w:pPr>
    <w:rPr>
      <w:rFonts w:eastAsia="Times New Roman" w:cs="Times New Roman"/>
      <w:b/>
      <w:bCs/>
      <w:i/>
      <w:iCs/>
      <w:szCs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B0652C"/>
    <w:rPr>
      <w:rFonts w:ascii="Arial" w:eastAsia="Times New Roman" w:hAnsi="Arial" w:cs="Times New Roman"/>
      <w:b/>
      <w:bCs/>
      <w:i/>
      <w:iCs/>
      <w:szCs w:val="28"/>
      <w:lang w:eastAsia="ar-SA"/>
    </w:rPr>
  </w:style>
  <w:style w:type="paragraph" w:customStyle="1" w:styleId="Listepuces1">
    <w:name w:val="Liste à puces1"/>
    <w:basedOn w:val="Normal"/>
    <w:rsid w:val="00B0652C"/>
    <w:pPr>
      <w:numPr>
        <w:numId w:val="1"/>
      </w:numPr>
      <w:suppressAutoHyphens/>
      <w:spacing w:after="0" w:line="240" w:lineRule="auto"/>
      <w:ind w:left="0" w:firstLine="0"/>
      <w:jc w:val="left"/>
    </w:pPr>
    <w:rPr>
      <w:rFonts w:ascii="Times New Roman" w:eastAsia="Times New Roman" w:hAnsi="Times New Roman" w:cs="Times New Roman"/>
      <w:sz w:val="24"/>
      <w:szCs w:val="24"/>
      <w:lang w:eastAsia="ar-SA"/>
    </w:rPr>
  </w:style>
  <w:style w:type="character" w:styleId="Marquedecommentaire">
    <w:name w:val="annotation reference"/>
    <w:basedOn w:val="Policepardfaut"/>
    <w:uiPriority w:val="99"/>
    <w:semiHidden/>
    <w:unhideWhenUsed/>
    <w:rsid w:val="00FD0011"/>
    <w:rPr>
      <w:sz w:val="16"/>
      <w:szCs w:val="16"/>
    </w:rPr>
  </w:style>
  <w:style w:type="paragraph" w:styleId="Commentaire">
    <w:name w:val="annotation text"/>
    <w:basedOn w:val="Normal"/>
    <w:link w:val="CommentaireCar"/>
    <w:uiPriority w:val="99"/>
    <w:semiHidden/>
    <w:unhideWhenUsed/>
    <w:rsid w:val="00FD0011"/>
    <w:pPr>
      <w:spacing w:line="240" w:lineRule="auto"/>
    </w:pPr>
    <w:rPr>
      <w:sz w:val="20"/>
      <w:szCs w:val="20"/>
    </w:rPr>
  </w:style>
  <w:style w:type="character" w:customStyle="1" w:styleId="CommentaireCar">
    <w:name w:val="Commentaire Car"/>
    <w:basedOn w:val="Policepardfaut"/>
    <w:link w:val="Commentaire"/>
    <w:uiPriority w:val="99"/>
    <w:semiHidden/>
    <w:rsid w:val="00FD0011"/>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D0011"/>
    <w:rPr>
      <w:b/>
      <w:bCs/>
    </w:rPr>
  </w:style>
  <w:style w:type="character" w:customStyle="1" w:styleId="ObjetducommentaireCar">
    <w:name w:val="Objet du commentaire Car"/>
    <w:basedOn w:val="CommentaireCar"/>
    <w:link w:val="Objetducommentaire"/>
    <w:uiPriority w:val="99"/>
    <w:semiHidden/>
    <w:rsid w:val="00FD0011"/>
    <w:rPr>
      <w:rFonts w:ascii="Arial" w:hAnsi="Arial"/>
      <w:b/>
      <w:bCs/>
      <w:sz w:val="20"/>
      <w:szCs w:val="20"/>
    </w:rPr>
  </w:style>
  <w:style w:type="paragraph" w:styleId="Textedebulles">
    <w:name w:val="Balloon Text"/>
    <w:basedOn w:val="Normal"/>
    <w:link w:val="TextedebullesCar"/>
    <w:uiPriority w:val="99"/>
    <w:semiHidden/>
    <w:unhideWhenUsed/>
    <w:rsid w:val="00FD00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00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314</Words>
  <Characters>1733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Gaelle ISIDORE</cp:lastModifiedBy>
  <cp:revision>6</cp:revision>
  <dcterms:created xsi:type="dcterms:W3CDTF">2018-04-23T10:06:00Z</dcterms:created>
  <dcterms:modified xsi:type="dcterms:W3CDTF">2018-10-09T13:10:00Z</dcterms:modified>
</cp:coreProperties>
</file>